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78464EE" w14:paraId="70524259" wp14:textId="5E49155C">
      <w:pPr>
        <w:spacing w:before="0" w:after="29" w:line="259" w:lineRule="auto"/>
        <w:ind w:left="10" w:right="0" w:hanging="1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990000"/>
          <w:sz w:val="72"/>
          <w:szCs w:val="72"/>
          <w:lang w:val="en-US"/>
        </w:rPr>
      </w:pPr>
      <w:r>
        <w:drawing>
          <wp:inline xmlns:wp14="http://schemas.microsoft.com/office/word/2010/wordprocessingDrawing" wp14:editId="778464EE" wp14:anchorId="1EB42B2C">
            <wp:extent cx="4572000" cy="19050"/>
            <wp:effectExtent l="0" t="0" r="0" b="0"/>
            <wp:docPr id="16302854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fc3f86bd5840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8464EE" w:rsidR="778464E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990000"/>
          <w:sz w:val="72"/>
          <w:szCs w:val="72"/>
          <w:lang w:val="en-US"/>
        </w:rPr>
        <w:t>MATTHEW</w:t>
      </w:r>
      <w:r w:rsidRPr="778464EE" w:rsidR="778464E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990000"/>
          <w:sz w:val="72"/>
          <w:szCs w:val="72"/>
          <w:lang w:val="en-US"/>
        </w:rPr>
        <w:t>EVANS</w:t>
      </w:r>
    </w:p>
    <w:p xmlns:wp14="http://schemas.microsoft.com/office/word/2010/wordml" w:rsidP="56A56336" w14:paraId="465A4D9D" wp14:textId="52FEC543">
      <w:pPr>
        <w:spacing w:before="0" w:after="223" w:line="226" w:lineRule="auto"/>
        <w:ind w:left="10" w:right="0" w:hanging="1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6A56336" w:rsidR="56A5633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2479 Deer Run Apt 104, Lewisville, TX 75067 | C: 469-740-1353 | </w:t>
      </w:r>
      <w:hyperlink r:id="R2b3048355a974ed2">
        <w:r w:rsidRPr="56A56336" w:rsidR="56A56336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evans.matt68@gmail.com</w:t>
        </w:r>
      </w:hyperlink>
    </w:p>
    <w:p xmlns:wp14="http://schemas.microsoft.com/office/word/2010/wordml" w:rsidP="56A56336" w14:paraId="70C2FD87" wp14:textId="54630A06">
      <w:pPr>
        <w:spacing w:before="0" w:after="457" w:line="226" w:lineRule="auto"/>
        <w:ind w:left="2300" w:right="1727" w:hanging="2300"/>
        <w:jc w:val="left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990000"/>
          <w:sz w:val="20"/>
          <w:szCs w:val="20"/>
          <w:lang w:val="en-US"/>
        </w:rPr>
      </w:pPr>
      <w:r w:rsidRPr="56A56336" w:rsidR="56A56336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990000"/>
          <w:sz w:val="20"/>
          <w:szCs w:val="20"/>
          <w:lang w:val="en-US"/>
        </w:rPr>
        <w:t xml:space="preserve">ADDITIONAL INFORMATION </w:t>
      </w:r>
      <w:hyperlink r:id="R75bf890604c24840">
        <w:r w:rsidRPr="56A56336" w:rsidR="56A56336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https://www.linkedin.com/in/matthew-evans0b099299/</w:t>
        </w:r>
      </w:hyperlink>
    </w:p>
    <w:p xmlns:wp14="http://schemas.microsoft.com/office/word/2010/wordml" w:rsidP="56A56336" w14:paraId="4F413DB0" wp14:textId="5A1E8672">
      <w:pPr>
        <w:spacing w:before="0" w:after="457" w:line="226" w:lineRule="auto"/>
        <w:ind w:left="2300" w:right="1727" w:hanging="230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6A56336" w:rsidR="56A56336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990000"/>
          <w:sz w:val="20"/>
          <w:szCs w:val="20"/>
          <w:lang w:val="en-US"/>
        </w:rPr>
        <w:t xml:space="preserve">SUMMARY                     </w:t>
      </w:r>
      <w:r w:rsidRPr="56A56336" w:rsidR="56A5633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Highly enthusiastic customer service professional with 15 years client interface experience with </w:t>
      </w:r>
      <w:r w:rsidRPr="56A56336" w:rsidR="56A5633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focus</w:t>
      </w:r>
      <w:r w:rsidRPr="56A56336" w:rsidR="56A5633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on performing well within established metrics.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26"/>
        <w:gridCol w:w="7334"/>
      </w:tblGrid>
      <w:tr w:rsidR="778464EE" w:rsidTr="56A56336" w14:paraId="5876C7D1">
        <w:trPr>
          <w:trHeight w:val="2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778464EE" w:rsidP="56A56336" w:rsidRDefault="778464EE" w14:paraId="318BD719" w14:textId="1ACEE3CF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990000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990000"/>
                <w:sz w:val="20"/>
                <w:szCs w:val="20"/>
              </w:rPr>
              <w:t>EXPERIENCE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778464EE" w:rsidP="56A56336" w:rsidRDefault="778464EE" w14:paraId="7A1F9268" w14:textId="1A3BBD62">
            <w:pPr>
              <w:pStyle w:val="Normal"/>
              <w:spacing w:before="0" w:after="160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778464EE" w:rsidTr="56A56336" w14:paraId="661ED04E">
        <w:trPr>
          <w:trHeight w:val="26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778464EE" w:rsidP="56A56336" w:rsidRDefault="778464EE" w14:paraId="254FACBF" w14:textId="41A82F68">
            <w:pPr>
              <w:spacing w:before="0" w:after="29" w:line="259" w:lineRule="auto"/>
              <w:ind w:left="0" w:right="0" w:hanging="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May 2022 to Current</w:t>
            </w:r>
          </w:p>
          <w:p w:rsidR="778464EE" w:rsidP="56A56336" w:rsidRDefault="778464EE" w14:paraId="0B62990D" w14:textId="0335E06B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7C884571" w14:textId="0DBECAAC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1671540D" w14:textId="09892DB2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2385B0F4" w14:textId="52BE341F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1180CC3A" w14:textId="6D55D204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5E32EF16" w14:textId="1AFEFB56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7454EEAE" w14:textId="162109A9">
            <w:pPr>
              <w:pStyle w:val="Normal"/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25D211AA" w14:textId="37A6D896">
            <w:pPr>
              <w:pStyle w:val="Normal"/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10/2014 to May 2022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778464EE" w:rsidP="56A56336" w:rsidRDefault="778464EE" w14:paraId="6B9CBC9B" w14:textId="7FABC4E9">
            <w:pPr>
              <w:spacing w:before="0" w:after="29" w:line="259" w:lineRule="auto"/>
              <w:ind w:left="0" w:right="0" w:hanging="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Paycom Specialist II</w:t>
            </w:r>
          </w:p>
          <w:p w:rsidR="778464EE" w:rsidP="56A56336" w:rsidRDefault="778464EE" w14:paraId="4805EDA4" w14:textId="7C8BB12A">
            <w:pPr>
              <w:pStyle w:val="Normal"/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Paycom 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– 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Grapevine, TX</w:t>
            </w:r>
          </w:p>
          <w:p w:rsidR="778464EE" w:rsidP="56A56336" w:rsidRDefault="778464EE" w14:paraId="4FCF216B" w14:textId="1669F139">
            <w:pPr>
              <w:pStyle w:val="Normal"/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3450B10F" w14:textId="61EF19C9">
            <w:pPr>
              <w:pStyle w:val="Normal"/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Taking on multiple clients to 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assist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in their </w:t>
            </w:r>
            <w:bookmarkStart w:name="_Int_qusC7TPW" w:id="55638627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company's</w:t>
            </w:r>
            <w:bookmarkEnd w:id="55638627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payroll processes, as well as other modules they may have 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purchased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including benefits, time and attendance, tax profiles (primarily state) and liaise directly with the dedicated departments within Paycom to resolve client issues. Train clients to best 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utilize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their modules for their employees. </w:t>
            </w:r>
          </w:p>
          <w:p w:rsidR="778464EE" w:rsidP="56A56336" w:rsidRDefault="778464EE" w14:paraId="425418CA" w14:textId="5585B49D">
            <w:pPr>
              <w:pStyle w:val="Normal"/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192623AE" w14:textId="276DEE48">
            <w:pPr>
              <w:pStyle w:val="Normal"/>
              <w:spacing w:before="0" w:after="29" w:line="259" w:lineRule="auto"/>
              <w:ind w:left="0" w:right="0" w:hanging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Client Escalations Manager</w:t>
            </w:r>
          </w:p>
          <w:p w:rsidR="778464EE" w:rsidP="56A56336" w:rsidRDefault="778464EE" w14:paraId="43557B12" w14:textId="2758FEE6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Geek Squad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－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Flower Mound, TX</w:t>
            </w:r>
          </w:p>
          <w:p w:rsidR="778464EE" w:rsidP="56A56336" w:rsidRDefault="778464EE" w14:paraId="7A5C265C" w14:textId="1090CDCC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215B81D3" w14:textId="0709D148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Taking 30+ inbound calls daily based around issues with scheduled product deliveries and resolving those issues in the moment to continue customer satisfaction. Being assigned an average of 4 escalations per day concerning problems with orders ranging from incorrect addresses given from retail at time of purchase to delivery teams damaging a customer's homes while delivering or installing various products. In that </w:t>
            </w:r>
            <w:bookmarkStart w:name="_Int_Sa3rSPu8" w:id="1155822275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time,</w:t>
            </w:r>
            <w:bookmarkEnd w:id="1155822275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bookmarkStart w:name="_Int_YMiAreAK" w:id="2065762781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I helped</w:t>
            </w:r>
            <w:bookmarkEnd w:id="2065762781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to establish and maintain high metric ratings within the company guidelines and helped to create SOP for my dept. that has found </w:t>
            </w:r>
            <w:bookmarkStart w:name="_Int_NHElrQ05" w:id="421366565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its</w:t>
            </w:r>
            <w:bookmarkEnd w:id="421366565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way into databases used across the company to help resolve issues </w:t>
            </w:r>
            <w:bookmarkStart w:name="_Int_DxrKhbXS" w:id="414287391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by</w:t>
            </w:r>
            <w:bookmarkEnd w:id="414287391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keeping agent downtime low.</w:t>
            </w:r>
          </w:p>
          <w:p w:rsidR="778464EE" w:rsidP="56A56336" w:rsidRDefault="778464EE" w14:paraId="4ECA7CA3" w14:textId="7F68B2E9">
            <w:pPr>
              <w:pStyle w:val="Normal"/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78464EE" w:rsidTr="56A56336" w14:paraId="6D057CA7">
        <w:trPr>
          <w:trHeight w:val="181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778464EE" w:rsidP="56A56336" w:rsidRDefault="778464EE" w14:paraId="4F658847" w14:textId="19440372">
            <w:pPr>
              <w:pStyle w:val="Normal"/>
              <w:spacing w:before="0" w:after="29" w:line="259" w:lineRule="auto"/>
              <w:ind w:left="0" w:right="0" w:hanging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06/2007 to 05/2014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778464EE" w:rsidP="56A56336" w:rsidRDefault="778464EE" w14:paraId="4489427F" w14:textId="1BD4BE06">
            <w:pPr>
              <w:pStyle w:val="Normal"/>
              <w:spacing w:before="0" w:after="29" w:line="259" w:lineRule="auto"/>
              <w:ind w:left="0" w:right="0" w:hanging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Customer Service Representative</w:t>
            </w:r>
          </w:p>
          <w:p w:rsidR="778464EE" w:rsidP="56A56336" w:rsidRDefault="778464EE" w14:paraId="5652F9CD" w14:textId="6F098931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Assurant Solutions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－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Addison, TX</w:t>
            </w:r>
          </w:p>
          <w:p w:rsidR="778464EE" w:rsidP="56A56336" w:rsidRDefault="778464EE" w14:paraId="6E07AAEE" w14:textId="6159DC7C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78464EE" w:rsidP="56A56336" w:rsidRDefault="778464EE" w14:paraId="21F820E4" w14:textId="75CE2304">
            <w:pPr>
              <w:spacing w:before="0" w:after="29" w:line="259" w:lineRule="auto"/>
              <w:ind w:left="10" w:right="0" w:hanging="1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Inbound phone and </w:t>
            </w:r>
            <w:bookmarkStart w:name="_Int_ybKtac8U" w:id="811656385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chat-based</w:t>
            </w:r>
            <w:bookmarkEnd w:id="811656385"/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support concerning support of extended warranties for companies selling electronics and appliances using various skill sets to 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determine</w:t>
            </w:r>
            <w:r w:rsidRPr="56A56336" w:rsidR="56A5633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 hardware failure and in turn advocate for repair or replacement of the product.</w:t>
            </w:r>
          </w:p>
        </w:tc>
      </w:tr>
    </w:tbl>
    <w:p xmlns:wp14="http://schemas.microsoft.com/office/word/2010/wordml" w:rsidP="778464EE" w14:paraId="2C078E63" wp14:textId="5ABA242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xrKhbXS" int2:invalidationBookmarkName="" int2:hashCode="j80lo50gNxgwRK" int2:id="PTWxkto3"/>
    <int2:bookmark int2:bookmarkName="_Int_YMiAreAK" int2:invalidationBookmarkName="" int2:hashCode="KOEwgObzykgIXD" int2:id="7Hw6siYB"/>
    <int2:bookmark int2:bookmarkName="_Int_qusC7TPW" int2:invalidationBookmarkName="" int2:hashCode="rtRkee4jOjt7RX" int2:id="qa46BY7j"/>
    <int2:bookmark int2:bookmarkName="_Int_ybKtac8U" int2:invalidationBookmarkName="" int2:hashCode="UUhsuJFnPQuraf" int2:id="XDvJg8xI"/>
    <int2:bookmark int2:bookmarkName="_Int_NHElrQ05" int2:invalidationBookmarkName="" int2:hashCode="ebvFNemP5+ZKzn" int2:id="MLyWTGzE"/>
    <int2:bookmark int2:bookmarkName="_Int_Sa3rSPu8" int2:invalidationBookmarkName="" int2:hashCode="cU7qD0yYBza94A" int2:id="EsYIzT7e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C66E6"/>
    <w:rsid w:val="2A5C66E6"/>
    <w:rsid w:val="56A56336"/>
    <w:rsid w:val="778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66E6"/>
  <w15:chartTrackingRefBased/>
  <w15:docId w15:val="{6FD0B17B-943D-4DDA-8186-A0EB5EF790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dfc3f86bd5840fb" /><Relationship Type="http://schemas.openxmlformats.org/officeDocument/2006/relationships/hyperlink" Target="mailto:evans.matt68@gmail.com" TargetMode="External" Id="R2b3048355a974ed2" /><Relationship Type="http://schemas.openxmlformats.org/officeDocument/2006/relationships/hyperlink" Target="https://www.linkedin.com/in/matthew-evans0b099299/" TargetMode="External" Id="R75bf890604c24840" /><Relationship Type="http://schemas.microsoft.com/office/2020/10/relationships/intelligence" Target="intelligence2.xml" Id="R19e3ca2988f441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2022-03-07T17:15:15.2502064Z</dcterms:created>
  <dcterms:modified xsi:type="dcterms:W3CDTF">2022-11-06T16:23:07.5715701Z</dcterms:modified>
  <dc:creator>Matthew Evans</dc:creator>
  <lastModifiedBy>Matthew Evans</lastModifiedBy>
</coreProperties>
</file>